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 w:eastAsia="PMingLiU"/>
        </w:rPr>
      </w:pPr>
      <w:bookmarkStart w:id="0" w:name="_GoBack"/>
      <w:bookmarkEnd w:id="0"/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令和５・６年度</w:t>
      </w:r>
      <w:r>
        <w:rPr>
          <w:rFonts w:hint="eastAsia"/>
        </w:rPr>
        <w:t>建設工事入札参加資格の審査結果について」の写しを添付してください。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3</Pages>
  <Words>4</Words>
  <Characters>852</Characters>
  <Application>JUST Note</Application>
  <Lines>757</Lines>
  <Paragraphs>87</Paragraphs>
  <CharactersWithSpaces>1114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2023-09-05T07:21:38Z</dcterms:modified>
  <cp:revision>4</cp:revision>
</cp:coreProperties>
</file>