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00" w:lineRule="atLeast"/>
        <w:jc w:val="center"/>
        <w:rPr>
          <w:rFonts w:hint="eastAsia" w:ascii="ＭＳ 明朝" w:hAnsi="ＭＳ 明朝"/>
          <w:color w:val="000000"/>
          <w:spacing w:val="12"/>
          <w:sz w:val="24"/>
        </w:rPr>
      </w:pPr>
      <w:r>
        <w:rPr>
          <w:rFonts w:hint="default" w:ascii="ＭＳ 明朝" w:hAnsi="ＭＳ 明朝"/>
          <w:color w:val="000000"/>
          <w:spacing w:val="12"/>
          <w:sz w:val="24"/>
        </w:rPr>
        <mc:AlternateContent>
          <mc:Choice Requires="wps">
            <w:drawing>
              <wp:anchor simplePos="0" relativeHeight="3" behindDoc="0" locked="0" layoutInCell="0" hidden="0" allowOverlap="1">
                <wp:simplePos x="0" y="0"/>
                <wp:positionH relativeFrom="column">
                  <wp:posOffset>1200150</wp:posOffset>
                </wp:positionH>
                <wp:positionV relativeFrom="paragraph">
                  <wp:posOffset>0</wp:posOffset>
                </wp:positionV>
                <wp:extent cx="3200400" cy="34290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3200400" cy="342900"/>
                        </a:xfrm>
                        <a:prstGeom prst="rect"/>
                        <a:solidFill>
                          <a:srgbClr val="FFFFFF"/>
                        </a:solidFill>
                        <a:ln>
                          <a:miter/>
                        </a:ln>
                      </wps:spPr>
                      <wps:txbx>
                        <w:txbxContent>
                          <w:p>
                            <w:pPr>
                              <w:pStyle w:val="0"/>
                              <w:jc w:val="center"/>
                              <w:rPr>
                                <w:rFonts w:hint="eastAsia"/>
                              </w:rPr>
                            </w:pPr>
                            <w:r>
                              <w:rPr>
                                <w:rFonts w:hint="eastAsia"/>
                              </w:rPr>
                              <w:t>（　特　に　定　め　た　契　約　条　件　）</w:t>
                            </w:r>
                          </w:p>
                        </w:txbxContent>
                      </wps:txbx>
                      <wps:bodyPr upright="1"/>
                    </wps:wsp>
                  </a:graphicData>
                </a:graphic>
              </wp:anchor>
            </w:drawing>
          </mc:Choice>
          <mc:Fallback>
            <w:pict>
              <v:rect id="_x0000_s1026" style="margin-top:0pt;mso-position-vertical-relative:text;mso-position-horizontal-relative:text;position:absolute;height:27pt;width:252pt;margin-left:94.5pt;z-index:3;" o:allowincell="f" filled="t" fillcolor="#ffffff" stroked="f" o:spt="1">
                <v:fill/>
                <v:textbox style="layout-flow:horizontal;">
                  <w:txbxContent>
                    <w:p>
                      <w:pPr>
                        <w:pStyle w:val="0"/>
                        <w:jc w:val="center"/>
                        <w:rPr>
                          <w:rFonts w:hint="eastAsia"/>
                        </w:rPr>
                      </w:pPr>
                      <w:r>
                        <w:rPr>
                          <w:rFonts w:hint="eastAsia"/>
                        </w:rPr>
                        <w:t>（　特　に　定　め　た　契　約　条　件　）</w:t>
                      </w:r>
                    </w:p>
                  </w:txbxContent>
                </v:textbox>
                <v:imagedata o:title=""/>
                <w10:wrap type="none" anchorx="text" anchory="text"/>
              </v:rect>
            </w:pict>
          </mc:Fallback>
        </mc:AlternateContent>
      </w:r>
      <w:r>
        <w:rPr>
          <w:rFonts w:hint="default" w:ascii="ＭＳ 明朝" w:hAnsi="ＭＳ 明朝"/>
          <w:color w:val="000000"/>
          <w:spacing w:val="12"/>
          <w:sz w:val="24"/>
        </w:rPr>
        <mc:AlternateContent>
          <mc:Choice Requires="wps">
            <w:drawing>
              <wp:anchor simplePos="0" relativeHeight="2" behindDoc="0" locked="0" layoutInCell="0" hidden="0" allowOverlap="1">
                <wp:simplePos x="0" y="0"/>
                <wp:positionH relativeFrom="column">
                  <wp:posOffset>-333375</wp:posOffset>
                </wp:positionH>
                <wp:positionV relativeFrom="paragraph">
                  <wp:posOffset>-457200</wp:posOffset>
                </wp:positionV>
                <wp:extent cx="1400175" cy="457200"/>
                <wp:effectExtent l="0" t="0" r="635" b="635"/>
                <wp:wrapNone/>
                <wp:docPr id="1027" name="オブジェクト 0"/>
                <a:graphic xmlns:a="http://schemas.openxmlformats.org/drawingml/2006/main">
                  <a:graphicData uri="http://schemas.microsoft.com/office/word/2010/wordprocessingShape">
                    <wps:wsp>
                      <wps:cNvPr id="1027" name="オブジェクト 0"/>
                      <wps:cNvSpPr>
                        <a:spLocks noChangeArrowheads="1"/>
                      </wps:cNvSpPr>
                      <wps:spPr>
                        <a:xfrm>
                          <a:off x="0" y="0"/>
                          <a:ext cx="1400175" cy="457200"/>
                        </a:xfrm>
                        <a:prstGeom prst="rect"/>
                        <a:solidFill>
                          <a:srgbClr val="FFFFFF"/>
                        </a:solidFill>
                        <a:ln>
                          <a:miter/>
                        </a:ln>
                      </wps:spPr>
                      <wps:bodyPr/>
                    </wps:wsp>
                  </a:graphicData>
                </a:graphic>
              </wp:anchor>
            </w:drawing>
          </mc:Choice>
          <mc:Fallback>
            <w:pict>
              <v:rect id="_x0000_s1027" style="margin-top:-36pt;mso-position-vertical-relative:text;mso-position-horizontal-relative:text;position:absolute;height:36pt;width:110.25pt;margin-left:-26.25pt;z-index:2;" o:allowincell="f" filled="t" fillcolor="#ffffff" stroked="f" o:spt="1">
                <v:fill/>
                <v:textbox style="layout-flow:horizontal;"/>
                <v:imagedata o:title=""/>
                <w10:wrap type="none" anchorx="text" anchory="text"/>
              </v:rect>
            </w:pict>
          </mc:Fallback>
        </mc:AlternateContent>
      </w:r>
    </w:p>
    <w:p>
      <w:pPr>
        <w:pStyle w:val="0"/>
        <w:spacing w:line="400" w:lineRule="atLeast"/>
        <w:jc w:val="center"/>
        <w:rPr>
          <w:rFonts w:hint="eastAsia" w:ascii="ＭＳ 明朝" w:hAnsi="ＭＳ 明朝"/>
          <w:color w:val="000000"/>
          <w:spacing w:val="12"/>
          <w:sz w:val="24"/>
        </w:rPr>
      </w:pPr>
      <w:r>
        <w:rPr>
          <w:rFonts w:hint="eastAsia" w:ascii="ＭＳ 明朝" w:hAnsi="ＭＳ 明朝"/>
          <w:color w:val="000000"/>
          <w:spacing w:val="12"/>
          <w:sz w:val="24"/>
        </w:rPr>
        <w:t>　　　　　　　　　　　　　　　　　　　　　　　　　　　　　　　　　　　　　　　　　　　　　　　　　　　　　　　　　　　　　　　　　　　　　　　　　　　　　　　　　　　　　　　　　　　　　　　　　　　　　　　　　　　　　　　　　　　　　　　　　　　　　　　　　　　　　　　　　　　　　　　　　　　　　　　　　　　　　　　　　　　　　　　　　　　　　　　　　　　　　　　　　　　　　　　　　　　　　　　　　　　　　　　　　　　　　　　　　　　　　　　　　　　　　　　　　　　　　　　　　　　　　　　　　　　　　　　　　　　　　　　　　　　　　　　　　　　　　　　　　　　　　　　　　　　　　　　　　　　　　　　　　　　　　　　　　　　　　　　　　　　　　　　　　　　　　　　　　　　　　　　　　　　　　　　　　　　　　　　　　　　　　　　　　　　　　　　　　　　　　　　　　　　　　　　　　　　　　　　　　　　　　　　　　　　　　　　　　　　　　　　　　　　　　　　　　　　　　　　　　　　　　　　　　　　　　　　　　　　　　　　　　　　　　　　　　　　　　　　　　　　　　　　　　　　　　　　　　　　　　　　　　　　　　　　　　　　　　　　　　　　　　　　　　　　　　　　　　　　　　　　　　　　　　　　　　　　　　　　　　　　　　　　　　　　　　　　　　　　　　　　　　　　　　　　　　　　　　　　　　　　　　　　　　　　　　　　　　　　　　　　　　　　　　　　　　　　　　　　　　　　　　　　　　　　　　　　　　　　　　　　　　　　　　　　　　　　　　　　　　　　　　　　　　　　　　　　　　　　　　　　　　　　　　　　　　　　　　　　　　　　　　　　　　　　　　　　　　　　　　　　　　　　　　　　　　　　　　　　　　　　　　　　　　　　　　　　　　　　　　　　　　　　　　　　　　　　　　　　　　　　　　　　　　　　　　　　　　　　　　　　　　　　　　　　　　　　　　　　　　　　　　　　　　　　　　　　　　　　　　　　　　　　　　　　　　　　　　　　　　　　　　　　　　　　　　　　　　　　　　　　　　　　　　　　　　　　　　　　　　　　　　　　　　　　　　　　　　　　　　　　　　　　　　　　　　　　　　　　　　　　　　　　　　　　　　　　　　　　　　　　　　　　　　　　　　　　　　　　　　　　　　　　　　　　　　　　　　　　　　　　　　　　　　　　　　　　　　　　　　　　　　　　　　　　　　　　　　　　　　　　　　　　　　　　　　　　　　　　　　　　　　　　　　　　　　　　　　　　　　　　　　　　　　　　　　　　　　　　　　　　　　　　　　　　　　　　　　　　　　　　　　　　　　　　　　　　　　　　　　　　　　　　　　　　　　　　　　　　　　　　　　　　　　　　　　　　　　　　　　　　　　　　　　　　　　　　　　　　　　　　　　　　　　　　　　　　　　　　　　　　　　　　　　　　　　　　　　　　　　　　　　　　　　　　　　　　　　　　　　　　　　　　　　　　　　　　　　　　　　　　　　　　　　　　　　　　　　　　　　　　　　　　　　　　　　　　　　　　　　　　　　　　　　　　　　</w:t>
      </w:r>
    </w:p>
    <w:p>
      <w:pPr>
        <w:pStyle w:val="0"/>
        <w:spacing w:line="400" w:lineRule="atLeast"/>
        <w:rPr>
          <w:rFonts w:hint="eastAsia" w:ascii="ＭＳ 明朝" w:hAnsi="ＭＳ 明朝"/>
          <w:color w:val="000000"/>
          <w:spacing w:val="12"/>
          <w:sz w:val="22"/>
        </w:rPr>
      </w:pPr>
      <w:r>
        <w:rPr>
          <w:rFonts w:hint="eastAsia" w:ascii="ＭＳ 明朝" w:hAnsi="ＭＳ 明朝"/>
          <w:color w:val="000000"/>
          <w:spacing w:val="12"/>
          <w:sz w:val="22"/>
        </w:rPr>
        <w:t>１　この工事は、令和６年度から令和７年度にわたるものである。</w:t>
      </w:r>
    </w:p>
    <w:p>
      <w:pPr>
        <w:pStyle w:val="17"/>
        <w:tabs>
          <w:tab w:val="left" w:leader="none" w:pos="9135"/>
        </w:tabs>
        <w:ind w:right="-25"/>
        <w:rPr>
          <w:rFonts w:hint="eastAsia" w:ascii="ＭＳ 明朝" w:hAnsi="ＭＳ 明朝"/>
          <w:color w:val="000000"/>
        </w:rPr>
      </w:pPr>
      <w:r>
        <w:rPr>
          <w:rFonts w:hint="eastAsia" w:ascii="ＭＳ 明朝" w:hAnsi="ＭＳ 明朝"/>
          <w:color w:val="000000"/>
        </w:rPr>
        <w:t>２　令和６年度の支払いは</w:t>
      </w:r>
      <w:r>
        <w:rPr>
          <w:rFonts w:hint="eastAsia" w:ascii="ＭＳ 明朝" w:hAnsi="ＭＳ 明朝"/>
          <w:color w:val="000000"/>
        </w:rPr>
        <w:t>0</w:t>
      </w:r>
      <w:r>
        <w:rPr>
          <w:rFonts w:hint="eastAsia" w:ascii="ＭＳ 明朝" w:hAnsi="ＭＳ 明朝"/>
          <w:color w:val="000000"/>
        </w:rPr>
        <w:t>円とし、残額は令和７年度に支払う。</w:t>
      </w:r>
    </w:p>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2"/>
          <w:sz w:val="22"/>
        </w:rPr>
        <w:t>　　ただし、最終年を除いた各年度の支払額は、工事の出来形部分または製造工場等にある特殊な工場製品に相応する請負代金相当額の</w:t>
      </w:r>
      <w:r>
        <w:rPr>
          <w:rFonts w:hint="eastAsia" w:ascii="ＭＳ 明朝" w:hAnsi="ＭＳ 明朝"/>
          <w:color w:val="000000"/>
          <w:spacing w:val="12"/>
          <w:sz w:val="22"/>
        </w:rPr>
        <w:t>10</w:t>
      </w:r>
      <w:r>
        <w:rPr>
          <w:rFonts w:hint="eastAsia" w:ascii="ＭＳ 明朝" w:hAnsi="ＭＳ 明朝"/>
          <w:color w:val="000000"/>
          <w:spacing w:val="12"/>
          <w:sz w:val="22"/>
        </w:rPr>
        <w:t>分の９以内とする。</w:t>
      </w:r>
    </w:p>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2"/>
          <w:sz w:val="22"/>
        </w:rPr>
        <w:t>３　前払金の総額は現場説明書に記載のとおりとし、年度ごとに分割して支払う。</w:t>
      </w:r>
    </w:p>
    <w:p>
      <w:pPr>
        <w:pStyle w:val="0"/>
        <w:spacing w:line="400" w:lineRule="atLeast"/>
        <w:ind w:left="266" w:hanging="266"/>
        <w:rPr>
          <w:rFonts w:hint="eastAsia" w:ascii="ＭＳ 明朝" w:hAnsi="ＭＳ 明朝"/>
          <w:color w:val="000000"/>
          <w:spacing w:val="12"/>
          <w:sz w:val="22"/>
        </w:rPr>
      </w:pPr>
    </w:p>
    <w:tbl>
      <w:tblPr>
        <w:tblStyle w:val="11"/>
        <w:tblW w:w="0" w:type="auto"/>
        <w:tblInd w:w="639" w:type="dxa"/>
        <w:tblLayout w:type="fixed"/>
        <w:tblCellMar>
          <w:left w:w="99" w:type="dxa"/>
          <w:right w:w="99" w:type="dxa"/>
        </w:tblCellMar>
        <w:tblLook w:firstRow="0" w:lastRow="0" w:firstColumn="0" w:lastColumn="0" w:noHBand="1" w:noVBand="1" w:val="0600"/>
      </w:tblPr>
      <w:tblGrid>
        <w:gridCol w:w="1980"/>
        <w:gridCol w:w="630"/>
        <w:gridCol w:w="1575"/>
        <w:gridCol w:w="721"/>
        <w:gridCol w:w="2757"/>
      </w:tblGrid>
      <w:tr>
        <w:trPr>
          <w:cantSplit/>
          <w:trHeight w:val="375" w:hRule="atLeast"/>
        </w:trPr>
        <w:tc>
          <w:tcPr>
            <w:tcW w:w="19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22"/>
              </w:rPr>
            </w:pPr>
            <w:r>
              <w:rPr>
                <w:rFonts w:hint="eastAsia" w:ascii="ＭＳ 明朝" w:hAnsi="ＭＳ 明朝"/>
                <w:color w:val="000000"/>
                <w:spacing w:val="12"/>
                <w:sz w:val="22"/>
              </w:rPr>
              <w:t>各年度の前払金</w:t>
            </w:r>
          </w:p>
        </w:tc>
        <w:tc>
          <w:tcPr>
            <w:tcW w:w="630"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32"/>
              </w:rPr>
            </w:pPr>
            <w:r>
              <w:rPr>
                <w:rFonts w:hint="eastAsia" w:ascii="ＭＳ 明朝" w:hAnsi="ＭＳ 明朝"/>
                <w:color w:val="000000"/>
                <w:spacing w:val="12"/>
                <w:sz w:val="32"/>
              </w:rPr>
              <w:t>≦</w:t>
            </w:r>
          </w:p>
        </w:tc>
        <w:tc>
          <w:tcPr>
            <w:tcW w:w="157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22"/>
              </w:rPr>
            </w:pPr>
            <w:r>
              <w:rPr>
                <w:rFonts w:hint="eastAsia" w:ascii="ＭＳ 明朝" w:hAnsi="ＭＳ 明朝"/>
                <w:color w:val="000000"/>
                <w:spacing w:val="12"/>
                <w:sz w:val="22"/>
              </w:rPr>
              <w:t>前　払　金</w:t>
            </w:r>
          </w:p>
        </w:tc>
        <w:tc>
          <w:tcPr>
            <w:tcW w:w="72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32"/>
              </w:rPr>
            </w:pPr>
            <w:r>
              <w:rPr>
                <w:rFonts w:hint="eastAsia" w:ascii="ＭＳ 明朝" w:hAnsi="ＭＳ 明朝"/>
                <w:color w:val="000000"/>
                <w:spacing w:val="12"/>
                <w:sz w:val="32"/>
              </w:rPr>
              <w:t>×</w:t>
            </w:r>
          </w:p>
        </w:tc>
        <w:tc>
          <w:tcPr>
            <w:tcW w:w="275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2"/>
                <w:sz w:val="22"/>
              </w:rPr>
              <w:t>当該年度の支払限度額</w:t>
            </w:r>
          </w:p>
        </w:tc>
      </w:tr>
      <w:tr>
        <w:trPr>
          <w:cantSplit/>
          <w:trHeight w:val="375" w:hRule="atLeast"/>
        </w:trPr>
        <w:tc>
          <w:tcPr>
            <w:tcW w:w="19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22"/>
              </w:rPr>
            </w:pPr>
            <w:r>
              <w:rPr>
                <w:rFonts w:hint="eastAsia" w:ascii="ＭＳ 明朝" w:hAnsi="ＭＳ 明朝"/>
                <w:color w:val="000000"/>
                <w:spacing w:val="12"/>
                <w:sz w:val="22"/>
              </w:rPr>
              <w:t>の　支　払　額</w:t>
            </w:r>
          </w:p>
        </w:tc>
        <w:tc>
          <w:tcPr>
            <w:tcW w:w="63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pacing w:line="400" w:lineRule="atLeast"/>
              <w:ind w:left="266" w:hanging="266"/>
              <w:rPr>
                <w:rFonts w:hint="eastAsia" w:ascii="ＭＳ 明朝" w:hAnsi="ＭＳ 明朝"/>
                <w:color w:val="000000"/>
                <w:spacing w:val="12"/>
                <w:sz w:val="22"/>
              </w:rPr>
            </w:pPr>
          </w:p>
        </w:tc>
        <w:tc>
          <w:tcPr>
            <w:tcW w:w="157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22"/>
              </w:rPr>
            </w:pPr>
            <w:r>
              <w:rPr>
                <w:rFonts w:hint="eastAsia" w:ascii="ＭＳ 明朝" w:hAnsi="ＭＳ 明朝"/>
                <w:color w:val="000000"/>
                <w:spacing w:val="12"/>
                <w:sz w:val="22"/>
              </w:rPr>
              <w:t>総　　　額</w:t>
            </w:r>
          </w:p>
        </w:tc>
        <w:tc>
          <w:tcPr>
            <w:tcW w:w="72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pacing w:line="400" w:lineRule="atLeast"/>
              <w:ind w:left="266" w:hanging="266"/>
              <w:rPr>
                <w:rFonts w:hint="eastAsia" w:ascii="ＭＳ 明朝" w:hAnsi="ＭＳ 明朝"/>
                <w:color w:val="000000"/>
                <w:spacing w:val="12"/>
                <w:sz w:val="22"/>
              </w:rPr>
            </w:pPr>
          </w:p>
        </w:tc>
        <w:tc>
          <w:tcPr>
            <w:tcW w:w="275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67"/>
                <w:sz w:val="22"/>
                <w:fitText w:val="2440" w:id="1"/>
              </w:rPr>
              <w:t>請負代金</w:t>
            </w:r>
            <w:r>
              <w:rPr>
                <w:rFonts w:hint="eastAsia" w:ascii="ＭＳ 明朝" w:hAnsi="ＭＳ 明朝"/>
                <w:color w:val="000000"/>
                <w:spacing w:val="2"/>
                <w:sz w:val="22"/>
                <w:fitText w:val="2440" w:id="1"/>
              </w:rPr>
              <w:t>額</w:t>
            </w:r>
          </w:p>
        </w:tc>
      </w:tr>
    </w:tbl>
    <w:p>
      <w:pPr>
        <w:pStyle w:val="0"/>
        <w:spacing w:line="400" w:lineRule="atLeast"/>
        <w:ind w:left="266" w:hanging="266"/>
        <w:rPr>
          <w:rFonts w:hint="eastAsia" w:ascii="ＭＳ 明朝" w:hAnsi="ＭＳ 明朝"/>
          <w:color w:val="000000"/>
          <w:spacing w:val="12"/>
          <w:sz w:val="22"/>
        </w:rPr>
      </w:pPr>
    </w:p>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2"/>
          <w:sz w:val="22"/>
        </w:rPr>
        <w:t>　　受注者は前払金を受けようとする場合は、各年度末（最終年度は工事の完成期限）を保証期限とした公共工事の前払金保証事業に関する法律に規定する保証事業会社（以下「保証会社</w:t>
      </w:r>
      <w:bookmarkStart w:id="0" w:name="_GoBack"/>
      <w:bookmarkEnd w:id="0"/>
      <w:r>
        <w:rPr>
          <w:rFonts w:hint="eastAsia" w:ascii="ＭＳ 明朝" w:hAnsi="ＭＳ 明朝"/>
          <w:color w:val="000000"/>
          <w:spacing w:val="12"/>
          <w:sz w:val="22"/>
        </w:rPr>
        <w:t>」という。）の発行する保証証書を発注者に寄託しなければならない。</w:t>
      </w:r>
    </w:p>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2"/>
          <w:sz w:val="22"/>
        </w:rPr>
        <w:t>４　中間前払金の総額は現場説明書に記載のとおりとし、各年度ごとに分割して支払う。</w:t>
      </w:r>
    </w:p>
    <w:p>
      <w:pPr>
        <w:pStyle w:val="0"/>
        <w:spacing w:line="400" w:lineRule="atLeast"/>
        <w:ind w:left="266" w:hanging="266"/>
        <w:rPr>
          <w:rFonts w:hint="eastAsia" w:ascii="ＭＳ 明朝" w:hAnsi="ＭＳ 明朝"/>
          <w:color w:val="000000"/>
          <w:spacing w:val="12"/>
          <w:sz w:val="22"/>
        </w:rPr>
      </w:pPr>
    </w:p>
    <w:tbl>
      <w:tblPr>
        <w:tblStyle w:val="11"/>
        <w:tblW w:w="0" w:type="auto"/>
        <w:tblInd w:w="639" w:type="dxa"/>
        <w:tblLayout w:type="fixed"/>
        <w:tblCellMar>
          <w:left w:w="99" w:type="dxa"/>
          <w:right w:w="99" w:type="dxa"/>
        </w:tblCellMar>
        <w:tblLook w:firstRow="0" w:lastRow="0" w:firstColumn="0" w:lastColumn="0" w:noHBand="1" w:noVBand="1" w:val="0600"/>
      </w:tblPr>
      <w:tblGrid>
        <w:gridCol w:w="1980"/>
        <w:gridCol w:w="630"/>
        <w:gridCol w:w="1575"/>
        <w:gridCol w:w="665"/>
        <w:gridCol w:w="2730"/>
      </w:tblGrid>
      <w:tr>
        <w:trPr>
          <w:cantSplit/>
          <w:trHeight w:val="375" w:hRule="atLeast"/>
        </w:trPr>
        <w:tc>
          <w:tcPr>
            <w:tcW w:w="19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22"/>
              </w:rPr>
            </w:pPr>
            <w:r>
              <w:rPr>
                <w:rFonts w:hint="eastAsia" w:ascii="ＭＳ 明朝" w:hAnsi="ＭＳ 明朝"/>
                <w:color w:val="000000"/>
                <w:spacing w:val="38"/>
                <w:sz w:val="22"/>
                <w:fitText w:val="1708" w:id="2"/>
              </w:rPr>
              <w:t>各年度の中</w:t>
            </w:r>
            <w:r>
              <w:rPr>
                <w:rFonts w:hint="eastAsia" w:ascii="ＭＳ 明朝" w:hAnsi="ＭＳ 明朝"/>
                <w:color w:val="000000"/>
                <w:spacing w:val="4"/>
                <w:sz w:val="22"/>
                <w:fitText w:val="1708" w:id="2"/>
              </w:rPr>
              <w:t>間</w:t>
            </w:r>
          </w:p>
        </w:tc>
        <w:tc>
          <w:tcPr>
            <w:tcW w:w="630"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32"/>
              </w:rPr>
            </w:pPr>
            <w:r>
              <w:rPr>
                <w:rFonts w:hint="eastAsia" w:ascii="ＭＳ 明朝" w:hAnsi="ＭＳ 明朝"/>
                <w:color w:val="000000"/>
                <w:spacing w:val="12"/>
                <w:sz w:val="32"/>
              </w:rPr>
              <w:t>≦</w:t>
            </w:r>
          </w:p>
        </w:tc>
        <w:tc>
          <w:tcPr>
            <w:tcW w:w="157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22"/>
              </w:rPr>
            </w:pPr>
            <w:r>
              <w:rPr>
                <w:rFonts w:hint="eastAsia" w:ascii="ＭＳ 明朝" w:hAnsi="ＭＳ 明朝"/>
                <w:color w:val="000000"/>
                <w:spacing w:val="12"/>
                <w:sz w:val="22"/>
              </w:rPr>
              <w:t>中間前払金</w:t>
            </w:r>
          </w:p>
        </w:tc>
        <w:tc>
          <w:tcPr>
            <w:tcW w:w="665"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32"/>
              </w:rPr>
            </w:pPr>
            <w:r>
              <w:rPr>
                <w:rFonts w:hint="eastAsia" w:ascii="ＭＳ 明朝" w:hAnsi="ＭＳ 明朝"/>
                <w:color w:val="000000"/>
                <w:spacing w:val="12"/>
                <w:sz w:val="32"/>
              </w:rPr>
              <w:t>×</w:t>
            </w:r>
          </w:p>
        </w:tc>
        <w:tc>
          <w:tcPr>
            <w:tcW w:w="273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2"/>
                <w:sz w:val="22"/>
              </w:rPr>
              <w:t>当該年度の支払限度額</w:t>
            </w:r>
          </w:p>
        </w:tc>
      </w:tr>
      <w:tr>
        <w:trPr>
          <w:cantSplit/>
          <w:trHeight w:val="375" w:hRule="atLeast"/>
        </w:trPr>
        <w:tc>
          <w:tcPr>
            <w:tcW w:w="19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22"/>
              </w:rPr>
            </w:pPr>
            <w:r>
              <w:rPr>
                <w:rFonts w:hint="eastAsia" w:ascii="ＭＳ 明朝" w:hAnsi="ＭＳ 明朝"/>
                <w:color w:val="000000"/>
                <w:spacing w:val="12"/>
                <w:sz w:val="22"/>
              </w:rPr>
              <w:t>前払金の支払額</w:t>
            </w:r>
          </w:p>
        </w:tc>
        <w:tc>
          <w:tcPr>
            <w:tcW w:w="63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pacing w:line="400" w:lineRule="atLeast"/>
              <w:ind w:left="266" w:hanging="266"/>
              <w:rPr>
                <w:rFonts w:hint="eastAsia" w:ascii="ＭＳ 明朝" w:hAnsi="ＭＳ 明朝"/>
                <w:color w:val="000000"/>
                <w:spacing w:val="12"/>
                <w:sz w:val="22"/>
              </w:rPr>
            </w:pPr>
          </w:p>
        </w:tc>
        <w:tc>
          <w:tcPr>
            <w:tcW w:w="157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jc w:val="center"/>
              <w:rPr>
                <w:rFonts w:hint="eastAsia" w:ascii="ＭＳ 明朝" w:hAnsi="ＭＳ 明朝"/>
                <w:color w:val="000000"/>
                <w:spacing w:val="12"/>
                <w:sz w:val="22"/>
              </w:rPr>
            </w:pPr>
            <w:r>
              <w:rPr>
                <w:rFonts w:hint="eastAsia" w:ascii="ＭＳ 明朝" w:hAnsi="ＭＳ 明朝"/>
                <w:color w:val="000000"/>
                <w:spacing w:val="12"/>
                <w:sz w:val="22"/>
              </w:rPr>
              <w:t>総　　　額</w:t>
            </w:r>
          </w:p>
        </w:tc>
        <w:tc>
          <w:tcPr>
            <w:tcW w:w="66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pacing w:line="400" w:lineRule="atLeast"/>
              <w:ind w:left="266" w:hanging="266"/>
              <w:rPr>
                <w:rFonts w:hint="eastAsia" w:ascii="ＭＳ 明朝" w:hAnsi="ＭＳ 明朝"/>
                <w:color w:val="000000"/>
                <w:spacing w:val="12"/>
                <w:sz w:val="22"/>
              </w:rPr>
            </w:pPr>
          </w:p>
        </w:tc>
        <w:tc>
          <w:tcPr>
            <w:tcW w:w="273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67"/>
                <w:kern w:val="0"/>
                <w:sz w:val="22"/>
                <w:fitText w:val="2440" w:id="3"/>
              </w:rPr>
              <w:t>請負代金</w:t>
            </w:r>
            <w:r>
              <w:rPr>
                <w:rFonts w:hint="eastAsia" w:ascii="ＭＳ 明朝" w:hAnsi="ＭＳ 明朝"/>
                <w:color w:val="000000"/>
                <w:spacing w:val="2"/>
                <w:kern w:val="0"/>
                <w:sz w:val="22"/>
                <w:fitText w:val="2440" w:id="3"/>
              </w:rPr>
              <w:t>額</w:t>
            </w:r>
          </w:p>
        </w:tc>
      </w:tr>
    </w:tbl>
    <w:p>
      <w:pPr>
        <w:pStyle w:val="0"/>
        <w:spacing w:line="400" w:lineRule="atLeast"/>
        <w:ind w:left="266" w:hanging="266"/>
        <w:rPr>
          <w:rFonts w:hint="eastAsia" w:ascii="ＭＳ 明朝" w:hAnsi="ＭＳ 明朝"/>
          <w:color w:val="000000"/>
          <w:spacing w:val="12"/>
          <w:sz w:val="22"/>
        </w:rPr>
      </w:pPr>
    </w:p>
    <w:p>
      <w:pPr>
        <w:pStyle w:val="18"/>
        <w:rPr>
          <w:rFonts w:hint="eastAsia" w:ascii="ＭＳ 明朝" w:hAnsi="ＭＳ 明朝"/>
          <w:color w:val="000000"/>
        </w:rPr>
      </w:pPr>
      <w:r>
        <w:rPr>
          <w:rFonts w:hint="eastAsia" w:ascii="ＭＳ 明朝" w:hAnsi="ＭＳ 明朝"/>
          <w:color w:val="000000"/>
        </w:rPr>
        <w:t>　　受注者は、３に規定する前払金の支払いを受けた後、中間前払金を受けようとする場合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後、各年度末（最終年度は工事の完成期限）を保証期限とした、保証会社の発行する保証証書を発注者に寄託しなければならない。</w:t>
      </w:r>
    </w:p>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2"/>
          <w:sz w:val="22"/>
        </w:rPr>
        <w:t>５　令和７年度以降の支払限度額は、各年度当初に発注者が当該年度の予算により定めるものとする。</w:t>
      </w:r>
    </w:p>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2"/>
          <w:sz w:val="22"/>
        </w:rPr>
        <w:t>６　最終年度を除いた各年度の前払金及び中間前金払は、当該年度末までにその全額を償却するものとする。</w:t>
      </w:r>
    </w:p>
    <w:p>
      <w:pPr>
        <w:pStyle w:val="0"/>
        <w:spacing w:line="400" w:lineRule="atLeast"/>
        <w:ind w:left="266" w:hanging="266"/>
        <w:rPr>
          <w:rFonts w:hint="eastAsia" w:ascii="ＭＳ 明朝" w:hAnsi="ＭＳ 明朝"/>
          <w:color w:val="000000"/>
          <w:spacing w:val="12"/>
          <w:sz w:val="22"/>
        </w:rPr>
      </w:pPr>
      <w:r>
        <w:rPr>
          <w:rFonts w:hint="eastAsia" w:ascii="ＭＳ 明朝" w:hAnsi="ＭＳ 明朝"/>
          <w:color w:val="000000"/>
          <w:spacing w:val="12"/>
          <w:sz w:val="22"/>
        </w:rPr>
        <w:t>７　発注者は予算上の理由等により、２から６に規定する支払額を変更することが出来る。</w:t>
      </w:r>
    </w:p>
    <w:sectPr>
      <w:headerReference r:id="rId5" w:type="default"/>
      <w:pgSz w:w="11906" w:h="16838"/>
      <w:pgMar w:top="1134" w:right="1021" w:bottom="1134" w:left="1985"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rPr>
    </w:pPr>
    <w:r>
      <w:rPr>
        <w:rFonts w:hint="eastAsia"/>
        <w:bdr w:val="single" w:color="auto" w:sz="4" w:space="0"/>
      </w:rPr>
      <w:t>２年債務用</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oNotTrackMoves/>
  <w:defaultTabStop w:val="851"/>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lock Text"/>
    <w:basedOn w:val="0"/>
    <w:next w:val="17"/>
    <w:link w:val="0"/>
    <w:uiPriority w:val="0"/>
    <w:pPr>
      <w:spacing w:line="400" w:lineRule="atLeast"/>
      <w:ind w:left="266" w:right="290" w:hanging="266"/>
    </w:pPr>
    <w:rPr>
      <w:spacing w:val="12"/>
      <w:sz w:val="22"/>
    </w:rPr>
  </w:style>
  <w:style w:type="paragraph" w:styleId="18">
    <w:name w:val="Body Text Indent"/>
    <w:basedOn w:val="0"/>
    <w:next w:val="18"/>
    <w:link w:val="0"/>
    <w:uiPriority w:val="0"/>
    <w:pPr>
      <w:spacing w:line="400" w:lineRule="atLeast"/>
      <w:ind w:left="266" w:hanging="266"/>
    </w:pPr>
    <w:rPr>
      <w:spacing w:val="12"/>
      <w:sz w:val="22"/>
    </w:rPr>
  </w:style>
  <w:style w:type="paragraph" w:styleId="19">
    <w:name w:val="Balloon Text"/>
    <w:basedOn w:val="0"/>
    <w:next w:val="19"/>
    <w:link w:val="0"/>
    <w:uiPriority w:val="0"/>
    <w:semiHidden/>
    <w:rPr>
      <w:rFonts w:ascii="Arial" w:hAnsi="Arial" w:eastAsia="ＭＳ ゴシック"/>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326</Words>
  <Characters>1861</Characters>
  <Application>JUST Note</Application>
  <Lines>15</Lines>
  <Paragraphs>4</Paragraphs>
  <Company>静岡県</Company>
  <CharactersWithSpaces>2183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（特に定めた契約条件）</dc:title>
  <dc:creator>FUJ9903B0775</dc:creator>
  <cp:lastModifiedBy>県総　石津</cp:lastModifiedBy>
  <cp:lastPrinted>2015-11-25T04:08:00Z</cp:lastPrinted>
  <dcterms:created xsi:type="dcterms:W3CDTF">2020-02-19T00:06:00Z</dcterms:created>
  <dcterms:modified xsi:type="dcterms:W3CDTF">2024-07-10T05:41:28Z</dcterms:modified>
  <cp:revision>18</cp:revision>
</cp:coreProperties>
</file>